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A0" w:rsidRPr="00051984" w:rsidRDefault="004415A0" w:rsidP="00051984">
      <w:pPr>
        <w:jc w:val="center"/>
        <w:rPr>
          <w:b/>
          <w:bCs/>
          <w:sz w:val="24"/>
          <w:szCs w:val="24"/>
          <w:lang w:val="ru-RU"/>
        </w:rPr>
      </w:pPr>
      <w:r w:rsidRPr="00051984">
        <w:rPr>
          <w:b/>
          <w:bCs/>
          <w:sz w:val="24"/>
          <w:szCs w:val="24"/>
          <w:lang w:val="ru-RU"/>
        </w:rPr>
        <w:t>Описание БП</w:t>
      </w:r>
    </w:p>
    <w:p w:rsidR="004415A0" w:rsidRPr="002D651A" w:rsidRDefault="004415A0" w:rsidP="002D651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D651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процессы можно подразделить на следующие виды: </w:t>
      </w:r>
    </w:p>
    <w:p w:rsidR="004415A0" w:rsidRPr="002D651A" w:rsidRDefault="004415A0" w:rsidP="002D65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D651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постоянные процессы – это процессы, которые выполняются с неизменным порядком действий. Состав операций процесса определен и повторяется из раза в раз одинаково. Время выполнения операций или цикл всего процесса существенно не изменяется. Процессы выполняются циклично. </w:t>
      </w:r>
    </w:p>
    <w:p w:rsidR="004415A0" w:rsidRPr="002D651A" w:rsidRDefault="004415A0" w:rsidP="002D65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D651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непостоянные процессы – это процессы, состав операций которых определен, но последовательность их выполнения может меняться. Время выполнения операций изменяется. Процессы не обладают цикличностью. </w:t>
      </w:r>
    </w:p>
    <w:p w:rsidR="004415A0" w:rsidRPr="002D651A" w:rsidRDefault="004415A0" w:rsidP="002D65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D651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многовариантные процессы – это процессы, которые изменяют состав действий и ход выполнения в зависимости от внешних или внутренних условий работы организации. </w:t>
      </w:r>
    </w:p>
    <w:p w:rsidR="004415A0" w:rsidRPr="002D651A" w:rsidRDefault="004415A0">
      <w:pPr>
        <w:pStyle w:val="Heading2"/>
        <w:rPr>
          <w:lang w:val="ru-RU"/>
        </w:rPr>
      </w:pPr>
      <w:r w:rsidRPr="002D651A">
        <w:rPr>
          <w:lang w:val="ru-RU"/>
        </w:rPr>
        <w:t>Формы документирования процессов</w:t>
      </w:r>
    </w:p>
    <w:p w:rsidR="004415A0" w:rsidRDefault="004415A0">
      <w:pPr>
        <w:pStyle w:val="NormalWeb"/>
      </w:pPr>
      <w:r>
        <w:t xml:space="preserve">Существуют различные формы документирования процессов. При разработке карт процессов, в рамках создания системы качества, наиболее часто используются графические и текстовые формы документирования или их сочетания. Графические формы документирования включают в себя различные диаграммы и блок-схемы. Текстовые формы документирования включают простое текстовое описание, табличное представление и «стандартные» формы (бланки). </w:t>
      </w:r>
    </w:p>
    <w:p w:rsidR="004415A0" w:rsidRDefault="004415A0">
      <w:pPr>
        <w:pStyle w:val="NormalWeb"/>
      </w:pPr>
      <w:r>
        <w:t xml:space="preserve">Применение этих форм документирования обусловлено тем, что такие формы являются наиболее понятными для персонала – в первом случае процесс представляется в виде визуального изображения операций процесса и последовательности их выполнения. Во втором случае – процесс документируется текстовым описанием. Документация системы качества (в том числе и карты процессов) должна быть доступна и понятна каждому сотруднику организации, поэтому, чем проще и нагляднее формы документирования, тем лучше. </w:t>
      </w:r>
    </w:p>
    <w:p w:rsidR="004415A0" w:rsidRDefault="004415A0">
      <w:pPr>
        <w:pStyle w:val="NormalWeb"/>
      </w:pPr>
      <w:r>
        <w:t xml:space="preserve">Выбор формы документирования процесса, также будет зависеть и от вида процесса. Если процесс является постоянным, то такой процесс легко представить в виде диаграммы или блок-схемы. В постоянном процессе логика, состав и последовательность операций не изменяются, поэтому при разработке графической карты процесса сложностей не возникает. Если процесс является непостоянным, то графическое представление процесса становится затруднительным, т.к. в таком процессе может изменяться последовательность операций и логические правила процесса. В таком случае, наиболее подходящим вариантом составления карты процесса будет являться текстовая форма. Для многовариантных процессов, также наиболее подходящим вариантом документирования будет являться текстовая форма. </w:t>
      </w:r>
    </w:p>
    <w:p w:rsidR="004415A0" w:rsidRPr="00F975DF" w:rsidRDefault="004415A0">
      <w:pPr>
        <w:pStyle w:val="NormalWeb"/>
      </w:pPr>
      <w:r>
        <w:t xml:space="preserve">Еще одним вариантом документирования и составления карт процессов является </w:t>
      </w:r>
      <w:r w:rsidRPr="00F975DF">
        <w:t>моделирование</w:t>
      </w:r>
      <w:r>
        <w:t xml:space="preserve">. Конечно, в том случае, если рассматривать моделирование не только как набор диаграмм и описаний процесса, потому что любая схема процесса или его описание уже является его моделью (например, составленная с помощью </w:t>
      </w:r>
      <w:r w:rsidRPr="00F975DF">
        <w:t>Visio</w:t>
      </w:r>
      <w:r>
        <w:t xml:space="preserve">). Для системы качества в моделировании интерес представляет </w:t>
      </w:r>
      <w:r w:rsidRPr="00F975DF">
        <w:t>имитационное моделирование процесса</w:t>
      </w:r>
      <w:r>
        <w:t xml:space="preserve">, т.к. оно позволяет найти пути улучшения процесса. Для </w:t>
      </w:r>
      <w:r w:rsidRPr="00F975DF">
        <w:t>этих целей используются</w:t>
      </w:r>
      <w:hyperlink r:id="rId7" w:history="1">
        <w:r w:rsidRPr="00F975DF">
          <w:rPr>
            <w:rStyle w:val="Hyperlink"/>
            <w:color w:val="auto"/>
          </w:rPr>
          <w:t xml:space="preserve"> CASE -средства</w:t>
        </w:r>
      </w:hyperlink>
      <w:r w:rsidRPr="00F975DF">
        <w:t xml:space="preserve"> (например, </w:t>
      </w:r>
      <w:hyperlink r:id="rId8" w:history="1">
        <w:r w:rsidRPr="00F975DF">
          <w:rPr>
            <w:rStyle w:val="Hyperlink"/>
            <w:color w:val="auto"/>
          </w:rPr>
          <w:t>ARIS</w:t>
        </w:r>
      </w:hyperlink>
      <w:r w:rsidRPr="00F975DF">
        <w:t xml:space="preserve">, </w:t>
      </w:r>
      <w:hyperlink r:id="rId9" w:history="1">
        <w:r w:rsidRPr="00F975DF">
          <w:rPr>
            <w:rStyle w:val="Hyperlink"/>
            <w:color w:val="auto"/>
          </w:rPr>
          <w:t>ERwin</w:t>
        </w:r>
      </w:hyperlink>
      <w:r w:rsidRPr="00F975DF">
        <w:t xml:space="preserve">, </w:t>
      </w:r>
      <w:hyperlink r:id="rId10" w:history="1">
        <w:r w:rsidRPr="00F975DF">
          <w:rPr>
            <w:rStyle w:val="Hyperlink"/>
            <w:color w:val="auto"/>
          </w:rPr>
          <w:t>BPwin</w:t>
        </w:r>
      </w:hyperlink>
      <w:r w:rsidRPr="00F975DF">
        <w:t xml:space="preserve">, </w:t>
      </w:r>
      <w:hyperlink r:id="rId11" w:history="1">
        <w:r w:rsidRPr="00F975DF">
          <w:rPr>
            <w:rStyle w:val="Hyperlink"/>
            <w:color w:val="auto"/>
          </w:rPr>
          <w:t>Rational Rose</w:t>
        </w:r>
      </w:hyperlink>
      <w:r w:rsidRPr="00F975DF">
        <w:t xml:space="preserve"> и пр.).</w:t>
      </w:r>
    </w:p>
    <w:p w:rsidR="004415A0" w:rsidRPr="000E4EEC" w:rsidRDefault="004415A0" w:rsidP="000E4EEC">
      <w:pPr>
        <w:rPr>
          <w:b/>
          <w:bCs/>
          <w:lang w:val="ru-RU"/>
        </w:rPr>
      </w:pPr>
      <w:r w:rsidRPr="000E4EEC">
        <w:rPr>
          <w:b/>
          <w:bCs/>
          <w:lang w:val="ru-RU"/>
        </w:rPr>
        <w:t xml:space="preserve"> Описание БП</w:t>
      </w:r>
    </w:p>
    <w:p w:rsidR="004415A0" w:rsidRPr="006657B6" w:rsidRDefault="004415A0" w:rsidP="000E4EEC">
      <w:pPr>
        <w:rPr>
          <w:lang w:val="ru-RU"/>
        </w:rPr>
      </w:pPr>
      <w:r w:rsidRPr="003C081D">
        <w:rPr>
          <w:lang w:val="ru-RU"/>
        </w:rPr>
        <w:t xml:space="preserve">Для того чтобы схемы бизнес-процессов одинаково понимались всеми сотрудниками предприятия, необходимо придерживаться заданных правил построения бизнес-процессов. Вы, конечно же, можете самостоятельно разработать правила описания бизнес-процессов, и ознакомить с ними всех сотрудников, однако на сегодняшний день существует множество готовых общепризнанных правил описания бизнес-процессов, которые называются «нотациями». Среди самых популярных нотаций для моделирования – </w:t>
      </w:r>
      <w:r>
        <w:t>IDEF</w:t>
      </w:r>
      <w:r w:rsidRPr="003C081D">
        <w:rPr>
          <w:lang w:val="ru-RU"/>
        </w:rPr>
        <w:t xml:space="preserve">0, </w:t>
      </w:r>
      <w:r>
        <w:t>BPMN</w:t>
      </w:r>
      <w:r w:rsidRPr="003C081D">
        <w:rPr>
          <w:lang w:val="ru-RU"/>
        </w:rPr>
        <w:t xml:space="preserve">, </w:t>
      </w:r>
      <w:r>
        <w:t>FlowChart</w:t>
      </w:r>
      <w:r w:rsidRPr="003C081D">
        <w:rPr>
          <w:lang w:val="ru-RU"/>
        </w:rPr>
        <w:t xml:space="preserve"> и другие. Каждая из нотаций имеет свои преимущества и недостатки, но, чёткое соблюдение правил выбранной нотации позволит быть уверенным в том, что построенные вами схемы будут понятны большинству бизнес-аналитиков.</w:t>
      </w:r>
    </w:p>
    <w:p w:rsidR="004415A0" w:rsidRPr="003C081D" w:rsidRDefault="004415A0" w:rsidP="000E4EE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C081D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РЕКОМЕНДАЦИИ Методика менеджмента процессов в системе качества </w:t>
      </w:r>
      <w:r w:rsidRPr="003C081D">
        <w:rPr>
          <w:rFonts w:ascii="Times New Roman" w:hAnsi="Times New Roman" w:cs="Times New Roman"/>
          <w:sz w:val="24"/>
          <w:szCs w:val="24"/>
          <w:lang w:val="ru-RU" w:eastAsia="ru-RU"/>
        </w:rPr>
        <w:t>Р 50-601-46-2004</w:t>
      </w:r>
    </w:p>
    <w:p w:rsidR="004415A0" w:rsidRDefault="004415A0">
      <w:pPr>
        <w:rPr>
          <w:lang w:val="ru-RU"/>
        </w:rPr>
      </w:pPr>
      <w:r w:rsidRPr="000E4EEC">
        <w:rPr>
          <w:b/>
          <w:bCs/>
          <w:lang w:val="ru-RU"/>
        </w:rPr>
        <w:t xml:space="preserve">Нотация </w:t>
      </w:r>
      <w:r>
        <w:rPr>
          <w:lang w:val="ru-RU"/>
        </w:rPr>
        <w:t xml:space="preserve">– </w:t>
      </w:r>
      <w:r w:rsidRPr="000E4EEC">
        <w:rPr>
          <w:lang w:val="ru-RU"/>
        </w:rPr>
        <w:t xml:space="preserve">Система условных обозначений, принятая в какой-либо области знаний или деятельности. Включает множество символов, используемых для представления понятий и их взаимоотношений, составляющее </w:t>
      </w:r>
      <w:r w:rsidRPr="000E4EEC">
        <w:rPr>
          <w:i/>
          <w:iCs/>
          <w:lang w:val="ru-RU"/>
        </w:rPr>
        <w:t>алфавит нотации</w:t>
      </w:r>
      <w:r w:rsidRPr="000E4EEC">
        <w:rPr>
          <w:lang w:val="ru-RU"/>
        </w:rPr>
        <w:t>, а также правила их применения.</w:t>
      </w:r>
    </w:p>
    <w:p w:rsidR="004415A0" w:rsidRDefault="004415A0" w:rsidP="000E4EEC">
      <w:pPr>
        <w:pStyle w:val="NormalWeb"/>
      </w:pPr>
      <w:r>
        <w:t>Создавая и развивая бизнес необходимо следовать четким указанием по ранее написанному плану. Именно графические схемы процессов бизнеса являются опорой для поддержки и развития организации. Данные схемы используются работниками и следуют по их «маршруту». Для нормального и адекватного восприятия нотаций является их корректность, читабельность, а так же простота. Ведь не каждый человек сможет растолковать графические схемы со сложной структурой, которая будет вмещать в себе условные обозначения</w:t>
      </w:r>
    </w:p>
    <w:p w:rsidR="004415A0" w:rsidRDefault="004415A0">
      <w:pPr>
        <w:rPr>
          <w:lang w:val="ru-RU"/>
        </w:rPr>
      </w:pPr>
      <w:r w:rsidRPr="000E4EEC">
        <w:rPr>
          <w:lang w:val="ru-RU"/>
        </w:rPr>
        <w:t>Одной из важнейших целей формирования графических схем процессов является последующее их использование в регламентирующих документах организации. По этим схемам, как правило, работают сотрудники, которые не обучены сложным нотациям, не имеют навыков системного анализа и т.п. Для них очень важна простота и наглядность схем. Сложные, запутанные схемы, содержащие много различных условных обозначений, плохо воспринимаются людьми, что затрудняет их практическое использование. Поэтому для практических целей важным является корректный выбор и использование нотации (методики) описания процессов.</w:t>
      </w:r>
    </w:p>
    <w:p w:rsidR="004415A0" w:rsidRPr="000E4EEC" w:rsidRDefault="004415A0" w:rsidP="000E4E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 w:cs="Verdana"/>
          <w:color w:val="000000"/>
          <w:sz w:val="18"/>
          <w:szCs w:val="18"/>
          <w:lang w:val="ru-RU" w:eastAsia="ru-RU"/>
        </w:rPr>
      </w:pPr>
      <w:r w:rsidRPr="000E4EEC">
        <w:rPr>
          <w:rFonts w:ascii="Verdana" w:hAnsi="Verdana" w:cs="Verdana"/>
          <w:color w:val="000000"/>
          <w:sz w:val="18"/>
          <w:szCs w:val="18"/>
          <w:lang w:val="ru-RU" w:eastAsia="ru-RU"/>
        </w:rPr>
        <w:t>Использование сложных, формализованных нотаций при описании процессов приводит к:</w:t>
      </w:r>
    </w:p>
    <w:p w:rsidR="004415A0" w:rsidRPr="000E4EEC" w:rsidRDefault="004415A0" w:rsidP="000E4E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Verdana"/>
          <w:color w:val="333333"/>
          <w:sz w:val="18"/>
          <w:szCs w:val="18"/>
          <w:lang w:val="ru-RU" w:eastAsia="ru-RU"/>
        </w:rPr>
      </w:pPr>
      <w:r w:rsidRPr="000E4EEC">
        <w:rPr>
          <w:rFonts w:ascii="Verdana" w:hAnsi="Verdana" w:cs="Verdana"/>
          <w:color w:val="333333"/>
          <w:sz w:val="18"/>
          <w:szCs w:val="18"/>
          <w:lang w:val="ru-RU" w:eastAsia="ru-RU"/>
        </w:rPr>
        <w:t>трудностям при использовании (интерпретации) схем рядовыми сотрудниками;</w:t>
      </w:r>
    </w:p>
    <w:p w:rsidR="004415A0" w:rsidRPr="000E4EEC" w:rsidRDefault="004415A0" w:rsidP="000E4E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Verdana"/>
          <w:color w:val="333333"/>
          <w:sz w:val="18"/>
          <w:szCs w:val="18"/>
          <w:lang w:val="ru-RU" w:eastAsia="ru-RU"/>
        </w:rPr>
      </w:pPr>
      <w:r w:rsidRPr="000E4EEC">
        <w:rPr>
          <w:rFonts w:ascii="Verdana" w:hAnsi="Verdana" w:cs="Verdana"/>
          <w:color w:val="333333"/>
          <w:sz w:val="18"/>
          <w:szCs w:val="18"/>
          <w:lang w:val="ru-RU" w:eastAsia="ru-RU"/>
        </w:rPr>
        <w:t>невозможности (сложности) организации работ по описанию процессов силами сотрудников подразделений, не прошедших специальное обучение;</w:t>
      </w:r>
    </w:p>
    <w:p w:rsidR="004415A0" w:rsidRPr="000E4EEC" w:rsidRDefault="004415A0" w:rsidP="000E4E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Verdana"/>
          <w:color w:val="333333"/>
          <w:sz w:val="18"/>
          <w:szCs w:val="18"/>
          <w:lang w:val="ru-RU" w:eastAsia="ru-RU"/>
        </w:rPr>
      </w:pPr>
      <w:r w:rsidRPr="000E4EEC">
        <w:rPr>
          <w:rFonts w:ascii="Verdana" w:hAnsi="Verdana" w:cs="Verdana"/>
          <w:color w:val="333333"/>
          <w:sz w:val="18"/>
          <w:szCs w:val="18"/>
          <w:lang w:val="ru-RU" w:eastAsia="ru-RU"/>
        </w:rPr>
        <w:t>значительному увеличению трудозатрат бизнес-аналитиков на формирование схем;</w:t>
      </w:r>
    </w:p>
    <w:p w:rsidR="004415A0" w:rsidRPr="000E4EEC" w:rsidRDefault="004415A0" w:rsidP="000E4E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Verdana"/>
          <w:color w:val="333333"/>
          <w:sz w:val="18"/>
          <w:szCs w:val="18"/>
          <w:lang w:val="ru-RU" w:eastAsia="ru-RU"/>
        </w:rPr>
      </w:pPr>
      <w:r w:rsidRPr="000E4EEC">
        <w:rPr>
          <w:rFonts w:ascii="Verdana" w:hAnsi="Verdana" w:cs="Verdana"/>
          <w:color w:val="333333"/>
          <w:sz w:val="18"/>
          <w:szCs w:val="18"/>
          <w:lang w:val="ru-RU" w:eastAsia="ru-RU"/>
        </w:rPr>
        <w:t>дополнительным сложностям при документировании схем (большой объем и т.п.);</w:t>
      </w:r>
    </w:p>
    <w:p w:rsidR="004415A0" w:rsidRPr="000E4EEC" w:rsidRDefault="004415A0" w:rsidP="000E4E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 w:cs="Verdana"/>
          <w:color w:val="000000"/>
          <w:sz w:val="18"/>
          <w:szCs w:val="18"/>
          <w:lang w:val="ru-RU" w:eastAsia="ru-RU"/>
        </w:rPr>
      </w:pPr>
      <w:r w:rsidRPr="000E4EEC">
        <w:rPr>
          <w:rFonts w:ascii="Verdana" w:hAnsi="Verdana" w:cs="Verdana"/>
          <w:color w:val="000000"/>
          <w:sz w:val="18"/>
          <w:szCs w:val="18"/>
          <w:lang w:val="ru-RU" w:eastAsia="ru-RU"/>
        </w:rPr>
        <w:t xml:space="preserve">Поэтому не стоит загромождать схему процесса различными графическими элементами. 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Схематическое изображение помогает определить процесс и в лаконичной форме представить его как в целом, так и по основным составляющим и параметрам. Особую роль схематическое изображение процесса играет при: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- анализе процесса (этап «планирование» цикла PDCA);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- обсуждении процесса группой специалистов, когда должен быть выработан единый взгляд на него;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- стандартизации процесса или внесении изменений в существующий процесс (этап «воздействие» цикла PDCA).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Существует большое количество методов схематического изображения процесса. Каждый из них имеет свои преимущества и недостатки, обусловленные сферой распространения того или иного метода и его направленностью. Наиболее популярными в последнее время стали следующие методы: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- блок-схема (Block-Diagram);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- диаграмма последовательности (алгоритм, Flow Chart);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- диаграмма потоков (например, DFD, IDEF0);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карта</w:t>
      </w:r>
      <w:r w:rsidRPr="000E4E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процесса</w:t>
      </w:r>
      <w:r w:rsidRPr="000E4EEC">
        <w:rPr>
          <w:rFonts w:ascii="Times New Roman" w:hAnsi="Times New Roman" w:cs="Times New Roman"/>
          <w:sz w:val="24"/>
          <w:szCs w:val="24"/>
          <w:lang w:eastAsia="ru-RU"/>
        </w:rPr>
        <w:t xml:space="preserve"> (Process Map);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сетевой</w:t>
      </w:r>
      <w:r w:rsidRPr="000E4E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график</w:t>
      </w:r>
      <w:r w:rsidRPr="000E4EEC">
        <w:rPr>
          <w:rFonts w:ascii="Times New Roman" w:hAnsi="Times New Roman" w:cs="Times New Roman"/>
          <w:sz w:val="24"/>
          <w:szCs w:val="24"/>
          <w:lang w:eastAsia="ru-RU"/>
        </w:rPr>
        <w:t xml:space="preserve"> (Activity Network Diagram);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- процессно-функциональная диаграмма (Process/function Diagram);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- диаграмма процесса принятия решения (Process Decision Program Chart);</w:t>
      </w:r>
    </w:p>
    <w:p w:rsidR="004415A0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- объектно-событийное описание.</w:t>
      </w:r>
    </w:p>
    <w:p w:rsidR="004415A0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IDEF0</w:t>
      </w:r>
    </w:p>
    <w:p w:rsidR="004415A0" w:rsidRDefault="004415A0" w:rsidP="000E4EEC">
      <w:pPr>
        <w:spacing w:before="100" w:beforeAutospacing="1" w:after="100" w:afterAutospacing="1" w:line="240" w:lineRule="auto"/>
        <w:rPr>
          <w:lang w:val="ru-RU"/>
        </w:rPr>
      </w:pPr>
      <w:r>
        <w:rPr>
          <w:b/>
          <w:bCs/>
        </w:rPr>
        <w:t>IDEF</w:t>
      </w:r>
      <w:r>
        <w:t> </w:t>
      </w:r>
      <w:r w:rsidRPr="007D32E0">
        <w:rPr>
          <w:lang w:val="ru-RU"/>
        </w:rPr>
        <w:t xml:space="preserve">— методологии семейства </w:t>
      </w:r>
      <w:hyperlink r:id="rId12" w:tooltip="ICAM (страница отсутствует)" w:history="1">
        <w:r>
          <w:rPr>
            <w:rStyle w:val="Hyperlink"/>
          </w:rPr>
          <w:t>ICAM</w:t>
        </w:r>
      </w:hyperlink>
      <w:r w:rsidRPr="007D32E0">
        <w:rPr>
          <w:lang w:val="ru-RU"/>
        </w:rPr>
        <w:t xml:space="preserve"> (</w:t>
      </w:r>
      <w:r>
        <w:t>Integrated</w:t>
      </w:r>
      <w:r w:rsidRPr="007D32E0">
        <w:rPr>
          <w:lang w:val="ru-RU"/>
        </w:rPr>
        <w:t xml:space="preserve"> </w:t>
      </w:r>
      <w:r>
        <w:t>Computer</w:t>
      </w:r>
      <w:r w:rsidRPr="007D32E0">
        <w:rPr>
          <w:lang w:val="ru-RU"/>
        </w:rPr>
        <w:t>-</w:t>
      </w:r>
      <w:r>
        <w:t>Aided</w:t>
      </w:r>
      <w:r w:rsidRPr="007D32E0">
        <w:rPr>
          <w:lang w:val="ru-RU"/>
        </w:rPr>
        <w:t xml:space="preserve"> </w:t>
      </w:r>
      <w:r>
        <w:t>Manufacturing</w:t>
      </w:r>
      <w:r w:rsidRPr="007D32E0">
        <w:rPr>
          <w:lang w:val="ru-RU"/>
        </w:rPr>
        <w:t xml:space="preserve">) для решения задач </w:t>
      </w:r>
      <w:hyperlink r:id="rId13" w:tooltip="Моделирование" w:history="1">
        <w:r w:rsidRPr="007D32E0">
          <w:rPr>
            <w:rStyle w:val="Hyperlink"/>
            <w:lang w:val="ru-RU"/>
          </w:rPr>
          <w:t>моделирования</w:t>
        </w:r>
      </w:hyperlink>
      <w:r w:rsidRPr="007D32E0">
        <w:rPr>
          <w:lang w:val="ru-RU"/>
        </w:rPr>
        <w:t xml:space="preserve"> </w:t>
      </w:r>
      <w:hyperlink r:id="rId14" w:tooltip="Сложная система" w:history="1">
        <w:r w:rsidRPr="007D32E0">
          <w:rPr>
            <w:rStyle w:val="Hyperlink"/>
            <w:lang w:val="ru-RU"/>
          </w:rPr>
          <w:t>сложных систем</w:t>
        </w:r>
      </w:hyperlink>
      <w:r w:rsidRPr="007D32E0">
        <w:rPr>
          <w:lang w:val="ru-RU"/>
        </w:rPr>
        <w:t>, позволяет отображать и анализировать модели деятельности широкого спектра сложных систем в различных разрезах. При этом широта и глубина обследования процессов в системе определяется самим разработчиком, что позволяет не перегружать создаваемую модель излишними данными.</w:t>
      </w:r>
    </w:p>
    <w:p w:rsidR="004415A0" w:rsidRPr="000E4EEC" w:rsidRDefault="004415A0" w:rsidP="000E4E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E4EEC">
        <w:rPr>
          <w:rFonts w:ascii="Times New Roman" w:hAnsi="Times New Roman" w:cs="Times New Roman"/>
          <w:sz w:val="24"/>
          <w:szCs w:val="24"/>
          <w:lang w:val="ru-RU" w:eastAsia="ru-RU"/>
        </w:rPr>
        <w:t>IDEF0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D32E0">
        <w:rPr>
          <w:lang w:val="ru-RU"/>
        </w:rPr>
        <w:t xml:space="preserve">методология функционального моделирования. С помощью наглядного графического языка </w:t>
      </w:r>
      <w:r>
        <w:t>IDEF</w:t>
      </w:r>
      <w:r w:rsidRPr="007D32E0">
        <w:rPr>
          <w:lang w:val="ru-RU"/>
        </w:rPr>
        <w:t>0 изучаемая система предстает перед разработчиками и аналитиками в виде набора взаимосвязанных функций (функциональных блоков</w:t>
      </w:r>
      <w:r>
        <w:t> </w:t>
      </w:r>
      <w:r w:rsidRPr="007D32E0">
        <w:rPr>
          <w:lang w:val="ru-RU"/>
        </w:rPr>
        <w:t xml:space="preserve">— в терминах </w:t>
      </w:r>
      <w:r>
        <w:t>IDEF</w:t>
      </w:r>
      <w:r w:rsidRPr="007D32E0">
        <w:rPr>
          <w:lang w:val="ru-RU"/>
        </w:rPr>
        <w:t>0).</w:t>
      </w:r>
    </w:p>
    <w:p w:rsidR="004415A0" w:rsidRDefault="004415A0">
      <w:pPr>
        <w:rPr>
          <w:lang w:val="ru-RU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2" o:spid="_x0000_s1026" type="#_x0000_t75" style="position:absolute;margin-left:269.45pt;margin-top:.3pt;width:213pt;height:160.5pt;z-index:-251658240;visibility:visible">
            <v:imagedata r:id="rId15" o:title="" croptop="23153f" cropbottom="15683f" cropleft="13555f" cropright="32015f"/>
          </v:shape>
        </w:pict>
      </w:r>
      <w:r w:rsidRPr="008E6550">
        <w:rPr>
          <w:noProof/>
          <w:lang w:val="ru-RU" w:eastAsia="ru-RU"/>
        </w:rPr>
        <w:pict>
          <v:shape id="Рисунок 9" o:spid="_x0000_i1025" type="#_x0000_t75" style="width:246.75pt;height:126.75pt;visibility:visible">
            <v:imagedata r:id="rId16" o:title="" croptop="21282f" cropbottom="24269f" cropleft="13552f" cropright="30644f"/>
          </v:shape>
        </w:pict>
      </w:r>
      <w:r>
        <w:rPr>
          <w:lang w:val="ru-RU"/>
        </w:rPr>
        <w:t xml:space="preserve"> Функциональный блок</w:t>
      </w:r>
    </w:p>
    <w:p w:rsidR="004415A0" w:rsidRDefault="004415A0">
      <w:pPr>
        <w:rPr>
          <w:lang w:val="ru-RU"/>
        </w:rPr>
      </w:pPr>
    </w:p>
    <w:p w:rsidR="004415A0" w:rsidRDefault="004415A0">
      <w:pPr>
        <w:rPr>
          <w:lang w:val="ru-RU"/>
        </w:rPr>
      </w:pPr>
      <w:r w:rsidRPr="008E6550">
        <w:rPr>
          <w:noProof/>
          <w:lang w:val="ru-RU" w:eastAsia="ru-RU"/>
        </w:rPr>
        <w:pict>
          <v:shape id="Рисунок 15" o:spid="_x0000_i1026" type="#_x0000_t75" style="width:328.5pt;height:225pt;visibility:visible">
            <v:imagedata r:id="rId17" o:title="" croptop="7652f" cropbottom="27438f" cropleft="12816f" cropright="27705f"/>
          </v:shape>
        </w:pict>
      </w:r>
    </w:p>
    <w:tbl>
      <w:tblPr>
        <w:tblW w:w="3333" w:type="pct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411"/>
        <w:gridCol w:w="3412"/>
      </w:tblGrid>
      <w:tr w:rsidR="004415A0" w:rsidRPr="008E655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2E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Символ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2E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Элементы процесса</w:t>
            </w:r>
          </w:p>
        </w:tc>
      </w:tr>
      <w:tr w:rsidR="004415A0" w:rsidRPr="0005198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E655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Рисунок 18" o:spid="_x0000_i1027" type="#_x0000_t75" alt="http://www.infosait.ru/norma_doc/46/46912/x052.jpg" style="width:124.5pt;height:53.25pt;visibility:visible">
                  <v:imagedata r:id="rId18" o:title=""/>
                </v:shape>
              </w:pic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2E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Событие, определяющее начало или окончание процесса</w:t>
            </w:r>
          </w:p>
        </w:tc>
      </w:tr>
      <w:tr w:rsidR="004415A0" w:rsidRPr="008E655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E655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Рисунок 19" o:spid="_x0000_i1028" type="#_x0000_t75" alt="http://www.infosait.ru/norma_doc/46/46912/x054.jpg" style="width:130.5pt;height:54.75pt;visibility:visible">
                  <v:imagedata r:id="rId19" o:title=""/>
                </v:shape>
              </w:pic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2E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Действие и исполнитель</w:t>
            </w:r>
          </w:p>
        </w:tc>
      </w:tr>
      <w:tr w:rsidR="004415A0" w:rsidRPr="0005198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E655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Рисунок 20" o:spid="_x0000_i1029" type="#_x0000_t75" alt="http://www.infosait.ru/norma_doc/46/46912/x056.jpg" style="width:120.75pt;height:91.5pt;visibility:visible">
                  <v:imagedata r:id="rId20" o:title=""/>
                </v:shape>
              </w:pic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2E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Момент выбора альтернативных решений. Вопрос, на который надо ответить: да/нет, принято/отвергнуто, соответствует/ не соответствует критериям</w:t>
            </w:r>
          </w:p>
        </w:tc>
      </w:tr>
      <w:tr w:rsidR="004415A0" w:rsidRPr="008E655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E655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Рисунок 21" o:spid="_x0000_i1030" type="#_x0000_t75" alt="http://www.infosait.ru/norma_doc/46/46912/x058.jpg" style="width:120.75pt;height:36pt;visibility:visible">
                  <v:imagedata r:id="rId21" o:title=""/>
                </v:shape>
              </w:pic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2E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Документ</w:t>
            </w:r>
          </w:p>
        </w:tc>
      </w:tr>
      <w:tr w:rsidR="004415A0" w:rsidRPr="008E655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E655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Рисунок 22" o:spid="_x0000_i1031" type="#_x0000_t75" alt="http://www.infosait.ru/norma_doc/46/46912/x060.jpg" style="width:98.25pt;height:33pt;visibility:visible">
                  <v:imagedata r:id="rId22" o:title=""/>
                </v:shape>
              </w:pic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2E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Задержка</w:t>
            </w:r>
          </w:p>
        </w:tc>
      </w:tr>
      <w:tr w:rsidR="004415A0" w:rsidRPr="0005198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E655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Рисунок 23" o:spid="_x0000_i1032" type="#_x0000_t75" alt="http://www.infosait.ru/norma_doc/46/46912/x062.jpg" style="width:80.25pt;height:34.5pt;visibility:visible">
                  <v:imagedata r:id="rId23" o:title=""/>
                </v:shape>
              </w:pic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2E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Переход к следующему элементу процесса</w:t>
            </w:r>
          </w:p>
        </w:tc>
      </w:tr>
      <w:tr w:rsidR="004415A0" w:rsidRPr="008E655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E655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Рисунок 24" o:spid="_x0000_i1033" type="#_x0000_t75" alt="http://www.infosait.ru/norma_doc/46/46912/x064.jpg" style="width:88.5pt;height:41.25pt;visibility:visible">
                  <v:imagedata r:id="rId24" o:title=""/>
                </v:shape>
              </w:pic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15A0" w:rsidRPr="007D32E0" w:rsidRDefault="004415A0" w:rsidP="007D3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2E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Продолжение</w:t>
            </w:r>
          </w:p>
        </w:tc>
      </w:tr>
    </w:tbl>
    <w:p w:rsidR="004415A0" w:rsidRDefault="004415A0">
      <w:pPr>
        <w:rPr>
          <w:lang w:val="ru-RU"/>
        </w:rPr>
      </w:pPr>
      <w:r w:rsidRPr="007D32E0">
        <w:rPr>
          <w:b/>
          <w:bCs/>
          <w:lang w:val="ru-RU"/>
        </w:rPr>
        <w:t>Диаграмма последовательности</w:t>
      </w:r>
      <w:r w:rsidRPr="007D32E0">
        <w:rPr>
          <w:lang w:val="ru-RU"/>
        </w:rPr>
        <w:t xml:space="preserve"> </w:t>
      </w:r>
      <w:r w:rsidRPr="007D32E0">
        <w:rPr>
          <w:i/>
          <w:iCs/>
          <w:lang w:val="ru-RU"/>
        </w:rPr>
        <w:t>(</w:t>
      </w:r>
      <w:r>
        <w:rPr>
          <w:i/>
          <w:iCs/>
        </w:rPr>
        <w:t> </w:t>
      </w:r>
      <w:r>
        <w:t>sequence</w:t>
      </w:r>
      <w:r w:rsidRPr="007D32E0">
        <w:rPr>
          <w:lang w:val="ru-RU"/>
        </w:rPr>
        <w:t xml:space="preserve"> </w:t>
      </w:r>
      <w:r>
        <w:t>diagram</w:t>
      </w:r>
      <w:r w:rsidRPr="007D32E0">
        <w:rPr>
          <w:i/>
          <w:iCs/>
          <w:lang w:val="ru-RU"/>
        </w:rPr>
        <w:t>)</w:t>
      </w:r>
      <w:r>
        <w:t> </w:t>
      </w:r>
      <w:r w:rsidRPr="007D32E0">
        <w:rPr>
          <w:lang w:val="ru-RU"/>
        </w:rPr>
        <w:t>— диаграмма, на которой показано взаимодействие объектов (обмен между ними сигналами и сообщениями), упорядоченное по времени, с отражением продолжительности обработки и последовательности их проявления.</w:t>
      </w:r>
    </w:p>
    <w:p w:rsidR="004415A0" w:rsidRDefault="004415A0">
      <w:pPr>
        <w:rPr>
          <w:lang w:val="ru-RU"/>
        </w:rPr>
      </w:pPr>
      <w:r w:rsidRPr="008E6550">
        <w:rPr>
          <w:noProof/>
          <w:lang w:val="ru-RU" w:eastAsia="ru-RU"/>
        </w:rPr>
        <w:pict>
          <v:shape id="Рисунок 32" o:spid="_x0000_i1034" type="#_x0000_t75" alt="http://cash24.ru/images/articles/sequence_diagram.png" style="width:344.25pt;height:225pt;visibility:visible">
            <v:imagedata r:id="rId25" o:title="" gain="1.25"/>
          </v:shape>
        </w:pict>
      </w:r>
    </w:p>
    <w:p w:rsidR="004415A0" w:rsidRDefault="004415A0" w:rsidP="00BB373E">
      <w:pPr>
        <w:pStyle w:val="NormalWeb"/>
      </w:pPr>
      <w:r>
        <w:rPr>
          <w:rStyle w:val="marker3"/>
        </w:rPr>
        <w:t>Основное назначение карты процесса</w:t>
      </w:r>
      <w:r>
        <w:t xml:space="preserve"> – это представлять технологию выполнения процесса. За счет создания карты процесса осуществляется его документирование, в результате у организации появляется возможность управлять этим процессом, вносить в него изменения, оценивать результативность и эффективность процесса. </w:t>
      </w:r>
    </w:p>
    <w:p w:rsidR="004415A0" w:rsidRDefault="004415A0" w:rsidP="00BB373E">
      <w:pPr>
        <w:pStyle w:val="NormalWeb"/>
      </w:pPr>
      <w:r>
        <w:t>В ходе создания системы качества, карты процессов разрабатываются на все процессы, входящие в область действия системы качества.</w:t>
      </w:r>
    </w:p>
    <w:p w:rsidR="004415A0" w:rsidRDefault="004415A0" w:rsidP="00BB373E">
      <w:pPr>
        <w:pStyle w:val="NormalWeb"/>
      </w:pPr>
      <w:r>
        <w:t xml:space="preserve">В совокупности весь набор карт процессов содержит технологию работы и управления, как системой качества, так и организацией в целом. </w:t>
      </w:r>
    </w:p>
    <w:p w:rsidR="004415A0" w:rsidRPr="00BB373E" w:rsidRDefault="004415A0" w:rsidP="001C57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>Карта процесса должна представлять процесс с той полнотой, которая необходима для получения устойчивых и приемлемых результатов процесса. Нет необходимости в карте процесса указывать все детали, которые квалифицированные сотрудники обязаны знать сами. Как правило, карта процесса представляет поток работ, который переходит от подразделения к подразделению. Поэтому, еще одно назначение карты процесса – это решить «проблемы стыков» между подразделениями, задействованными в процессе. Результаты работы одного подразделения (или организационной единицы) должны быть полностью востребованы последующим подразделением, и этих результатов должно быть достаточно для выполнения работы. Т.е. «</w:t>
      </w:r>
      <w:hyperlink r:id="rId26" w:anchor="output" w:history="1">
        <w:r w:rsidRPr="00BB373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выходы</w:t>
        </w:r>
      </w:hyperlink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>» из одного подразделения должны полностью соответствовать «</w:t>
      </w:r>
      <w:hyperlink r:id="rId27" w:anchor="input" w:history="1">
        <w:r w:rsidRPr="00BB373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входам</w:t>
        </w:r>
      </w:hyperlink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» другого. Для обеспечения такой «стыковки» и разрабатываются карты процессов. </w:t>
      </w:r>
    </w:p>
    <w:p w:rsidR="004415A0" w:rsidRPr="00BB373E" w:rsidRDefault="004415A0" w:rsidP="001C57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Для того чтобы карта процесса выполняла свое назначение, существуют обязательные элементы, которые должны указываться в карте. </w:t>
      </w:r>
    </w:p>
    <w:p w:rsidR="004415A0" w:rsidRPr="00BB373E" w:rsidRDefault="004415A0" w:rsidP="001C57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>К числу таких элементов относятся:</w:t>
      </w:r>
    </w:p>
    <w:p w:rsidR="004415A0" w:rsidRPr="00BB373E" w:rsidRDefault="004415A0" w:rsidP="001C57F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операции процесса; </w:t>
      </w:r>
    </w:p>
    <w:p w:rsidR="004415A0" w:rsidRPr="00BB373E" w:rsidRDefault="004415A0" w:rsidP="001C57F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ресурсы процесса (материальные, технические, людские, информационные и пр.); </w:t>
      </w:r>
    </w:p>
    <w:p w:rsidR="004415A0" w:rsidRPr="00BB373E" w:rsidRDefault="004415A0" w:rsidP="001C57F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особые условия выполнения процесса (если они есть); </w:t>
      </w:r>
    </w:p>
    <w:p w:rsidR="004415A0" w:rsidRPr="00BB373E" w:rsidRDefault="004415A0" w:rsidP="001C57F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компетентность и квалификация персонала; </w:t>
      </w:r>
    </w:p>
    <w:p w:rsidR="004415A0" w:rsidRPr="00BB373E" w:rsidRDefault="004415A0" w:rsidP="00BB37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документы, устанавливающие требования к продукту процесса и их изменение при переходе от операции к операции; </w:t>
      </w:r>
    </w:p>
    <w:p w:rsidR="004415A0" w:rsidRPr="00BB373E" w:rsidRDefault="004415A0" w:rsidP="00BB37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способы мониторинга процесса; </w:t>
      </w:r>
    </w:p>
    <w:p w:rsidR="004415A0" w:rsidRPr="00BB373E" w:rsidRDefault="004415A0" w:rsidP="00BB37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методы проведения проверок, контроля и испытаний продукта процесса; </w:t>
      </w:r>
    </w:p>
    <w:p w:rsidR="004415A0" w:rsidRPr="00BB373E" w:rsidRDefault="004415A0" w:rsidP="00BB37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37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отчетность, создаваемая по ходу процесса. </w:t>
      </w:r>
    </w:p>
    <w:p w:rsidR="004415A0" w:rsidRDefault="004415A0">
      <w:pPr>
        <w:rPr>
          <w:lang w:val="ru-RU"/>
        </w:rPr>
      </w:pPr>
      <w:r>
        <w:rPr>
          <w:lang w:val="ru-RU"/>
        </w:rPr>
        <w:br w:type="page"/>
      </w:r>
    </w:p>
    <w:p w:rsidR="004415A0" w:rsidRPr="00F85493" w:rsidRDefault="004415A0" w:rsidP="00F854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E655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Рисунок 1" o:spid="_x0000_i1035" type="#_x0000_t75" alt="http://www.businessstudio.ru/wiki/docs/v4/lib/exe/fetch.php/ru/csdesign/bpmodeling/epc_notation/epc_notation_313.png" style="width:453.75pt;height:852.75pt;visibility:visible">
            <v:imagedata r:id="rId28" o:title=""/>
          </v:shape>
        </w:pict>
      </w:r>
    </w:p>
    <w:p w:rsidR="004415A0" w:rsidRPr="00F85493" w:rsidRDefault="004415A0" w:rsidP="00F854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85493">
        <w:rPr>
          <w:rFonts w:ascii="Times New Roman" w:hAnsi="Times New Roman" w:cs="Times New Roman"/>
          <w:sz w:val="24"/>
          <w:szCs w:val="24"/>
          <w:lang w:val="ru-RU" w:eastAsia="ru-RU"/>
        </w:rPr>
        <w:t>Рисунок 23. Пример диаграммы процесса в нотации EPC</w:t>
      </w:r>
    </w:p>
    <w:p w:rsidR="004415A0" w:rsidRDefault="004415A0">
      <w:pPr>
        <w:rPr>
          <w:lang w:val="ru-RU"/>
        </w:rPr>
      </w:pPr>
      <w:r>
        <w:rPr>
          <w:lang w:val="ru-RU"/>
        </w:rPr>
        <w:br w:type="page"/>
      </w:r>
    </w:p>
    <w:p w:rsidR="004415A0" w:rsidRPr="00F85493" w:rsidRDefault="004415A0" w:rsidP="00F85493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val="ru-RU" w:eastAsia="ru-RU"/>
        </w:rPr>
      </w:pPr>
      <w:r w:rsidRPr="00F85493">
        <w:rPr>
          <w:rFonts w:ascii="Times New Roman" w:hAnsi="Times New Roman" w:cs="Times New Roman"/>
          <w:b/>
          <w:bCs/>
          <w:sz w:val="27"/>
          <w:szCs w:val="27"/>
          <w:lang w:val="ru-RU" w:eastAsia="ru-RU"/>
        </w:rPr>
        <w:t>Построение диаграммы последовательности (алгоритма) процесса</w:t>
      </w:r>
    </w:p>
    <w:p w:rsidR="004415A0" w:rsidRDefault="004415A0">
      <w:pPr>
        <w:rPr>
          <w:lang w:val="ru-RU"/>
        </w:rPr>
      </w:pPr>
      <w:r w:rsidRPr="008E6550">
        <w:rPr>
          <w:noProof/>
          <w:lang w:val="ru-RU" w:eastAsia="ru-RU"/>
        </w:rPr>
        <w:pict>
          <v:shape id="Рисунок 3" o:spid="_x0000_i1036" type="#_x0000_t75" style="width:420.75pt;height:329.25pt;visibility:visible">
            <v:imagedata r:id="rId29" o:title="" croptop="9142f" cropbottom="14370f" cropleft="17441f" cropright="18142f"/>
          </v:shape>
        </w:pict>
      </w:r>
    </w:p>
    <w:p w:rsidR="004415A0" w:rsidRDefault="004415A0">
      <w:pPr>
        <w:rPr>
          <w:lang w:val="ru-RU"/>
        </w:rPr>
      </w:pPr>
      <w:r w:rsidRPr="008E6550">
        <w:rPr>
          <w:noProof/>
          <w:lang w:val="ru-RU" w:eastAsia="ru-RU"/>
        </w:rPr>
        <w:pict>
          <v:shape id="Рисунок 6" o:spid="_x0000_i1037" type="#_x0000_t75" style="width:429pt;height:300.75pt;visibility:visible">
            <v:imagedata r:id="rId30" o:title="" croptop="13625f" cropbottom="15491f" cropleft="17336f" cropright="18349f"/>
          </v:shape>
        </w:pict>
      </w:r>
    </w:p>
    <w:p w:rsidR="004415A0" w:rsidRDefault="004415A0">
      <w:pPr>
        <w:rPr>
          <w:lang w:val="ru-RU"/>
        </w:rPr>
      </w:pPr>
    </w:p>
    <w:p w:rsidR="004415A0" w:rsidRDefault="004415A0">
      <w:pPr>
        <w:rPr>
          <w:lang w:val="ru-RU"/>
        </w:rPr>
      </w:pPr>
    </w:p>
    <w:p w:rsidR="004415A0" w:rsidRDefault="004415A0">
      <w:pPr>
        <w:rPr>
          <w:lang w:val="ru-RU"/>
        </w:rPr>
      </w:pPr>
    </w:p>
    <w:p w:rsidR="004415A0" w:rsidRPr="000E4EEC" w:rsidRDefault="004415A0">
      <w:pPr>
        <w:rPr>
          <w:lang w:val="ru-RU"/>
        </w:rPr>
      </w:pPr>
    </w:p>
    <w:sectPr w:rsidR="004415A0" w:rsidRPr="000E4EEC" w:rsidSect="001C57F4">
      <w:headerReference w:type="default" r:id="rId31"/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5A0" w:rsidRDefault="004415A0" w:rsidP="00F975DF">
      <w:pPr>
        <w:spacing w:after="0" w:line="240" w:lineRule="auto"/>
      </w:pPr>
      <w:r>
        <w:separator/>
      </w:r>
    </w:p>
  </w:endnote>
  <w:endnote w:type="continuationSeparator" w:id="1">
    <w:p w:rsidR="004415A0" w:rsidRDefault="004415A0" w:rsidP="00F9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5A0" w:rsidRDefault="004415A0" w:rsidP="00F975DF">
      <w:pPr>
        <w:spacing w:after="0" w:line="240" w:lineRule="auto"/>
      </w:pPr>
      <w:r>
        <w:separator/>
      </w:r>
    </w:p>
  </w:footnote>
  <w:footnote w:type="continuationSeparator" w:id="1">
    <w:p w:rsidR="004415A0" w:rsidRDefault="004415A0" w:rsidP="00F97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5A0" w:rsidRDefault="004415A0">
    <w:pPr>
      <w:pStyle w:val="Header"/>
      <w:jc w:val="center"/>
    </w:pPr>
    <w:fldSimple w:instr=" PAGE   \* MERGEFORMAT ">
      <w:r>
        <w:rPr>
          <w:noProof/>
        </w:rPr>
        <w:t>10</w:t>
      </w:r>
    </w:fldSimple>
  </w:p>
  <w:p w:rsidR="004415A0" w:rsidRDefault="004415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02D"/>
    <w:multiLevelType w:val="multilevel"/>
    <w:tmpl w:val="A528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6760204F"/>
    <w:multiLevelType w:val="multilevel"/>
    <w:tmpl w:val="4CD0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858208F"/>
    <w:multiLevelType w:val="multilevel"/>
    <w:tmpl w:val="A8B8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4EEC"/>
    <w:rsid w:val="00051984"/>
    <w:rsid w:val="000E4EEC"/>
    <w:rsid w:val="001A5862"/>
    <w:rsid w:val="001C57F4"/>
    <w:rsid w:val="002D651A"/>
    <w:rsid w:val="00395D8E"/>
    <w:rsid w:val="003C081D"/>
    <w:rsid w:val="003C2E71"/>
    <w:rsid w:val="00421510"/>
    <w:rsid w:val="0044109F"/>
    <w:rsid w:val="004415A0"/>
    <w:rsid w:val="00464CE7"/>
    <w:rsid w:val="004D0D7B"/>
    <w:rsid w:val="00570269"/>
    <w:rsid w:val="006657B6"/>
    <w:rsid w:val="007D32E0"/>
    <w:rsid w:val="0081162F"/>
    <w:rsid w:val="008A4B9D"/>
    <w:rsid w:val="008E6550"/>
    <w:rsid w:val="00A1375F"/>
    <w:rsid w:val="00BB373E"/>
    <w:rsid w:val="00CB15C9"/>
    <w:rsid w:val="00EA0A8B"/>
    <w:rsid w:val="00F85493"/>
    <w:rsid w:val="00F975DF"/>
    <w:rsid w:val="00FE7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E4EEC"/>
    <w:pPr>
      <w:spacing w:after="200" w:line="276" w:lineRule="auto"/>
    </w:pPr>
    <w:rPr>
      <w:rFonts w:cs="Calibr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4109F"/>
    <w:pPr>
      <w:spacing w:before="480" w:after="0"/>
      <w:outlineLvl w:val="0"/>
    </w:pPr>
    <w:rPr>
      <w:rFonts w:ascii="Cambria" w:eastAsia="Times New Roman" w:hAnsi="Cambria" w:cs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109F"/>
    <w:pPr>
      <w:spacing w:before="200" w:after="0"/>
      <w:outlineLvl w:val="1"/>
    </w:pPr>
    <w:rPr>
      <w:rFonts w:ascii="Cambria" w:eastAsia="Times New Roman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109F"/>
    <w:pPr>
      <w:spacing w:before="200" w:after="0" w:line="271" w:lineRule="auto"/>
      <w:outlineLvl w:val="2"/>
    </w:pPr>
    <w:rPr>
      <w:rFonts w:ascii="Cambria" w:eastAsia="Times New Roman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44109F"/>
    <w:pPr>
      <w:spacing w:before="200" w:after="0"/>
      <w:outlineLvl w:val="3"/>
    </w:pPr>
    <w:rPr>
      <w:rFonts w:ascii="Cambria" w:eastAsia="Times New Roman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44109F"/>
    <w:pPr>
      <w:spacing w:before="200" w:after="0"/>
      <w:outlineLvl w:val="4"/>
    </w:pPr>
    <w:rPr>
      <w:rFonts w:ascii="Cambria" w:eastAsia="Times New Roman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4109F"/>
    <w:pPr>
      <w:spacing w:after="0" w:line="271" w:lineRule="auto"/>
      <w:outlineLvl w:val="5"/>
    </w:pPr>
    <w:rPr>
      <w:rFonts w:ascii="Cambria" w:eastAsia="Times New Roman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4109F"/>
    <w:pPr>
      <w:spacing w:after="0"/>
      <w:outlineLvl w:val="6"/>
    </w:pPr>
    <w:rPr>
      <w:rFonts w:ascii="Cambria" w:eastAsia="Times New Roman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44109F"/>
    <w:pPr>
      <w:spacing w:after="0"/>
      <w:outlineLvl w:val="7"/>
    </w:pPr>
    <w:rPr>
      <w:rFonts w:ascii="Cambria" w:eastAsia="Times New Roman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4109F"/>
    <w:pPr>
      <w:spacing w:after="0"/>
      <w:outlineLvl w:val="8"/>
    </w:pPr>
    <w:rPr>
      <w:rFonts w:ascii="Cambria" w:eastAsia="Times New Roman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4109F"/>
    <w:rPr>
      <w:rFonts w:ascii="Cambria" w:hAnsi="Cambria" w:cs="Cambri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4109F"/>
    <w:rPr>
      <w:rFonts w:ascii="Cambria" w:hAnsi="Cambria" w:cs="Cambria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4109F"/>
    <w:rPr>
      <w:rFonts w:ascii="Cambria" w:hAnsi="Cambria" w:cs="Cambria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4109F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4109F"/>
    <w:rPr>
      <w:rFonts w:ascii="Cambria" w:hAnsi="Cambria" w:cs="Cambria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4109F"/>
    <w:rPr>
      <w:rFonts w:ascii="Cambria" w:hAnsi="Cambria" w:cs="Cambria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4109F"/>
    <w:rPr>
      <w:rFonts w:ascii="Cambria" w:hAnsi="Cambria" w:cs="Cambri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4109F"/>
    <w:rPr>
      <w:rFonts w:ascii="Cambria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4109F"/>
    <w:rPr>
      <w:rFonts w:ascii="Cambria" w:hAnsi="Cambria" w:cs="Cambria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E78DD"/>
    <w:rPr>
      <w:b/>
      <w:bCs/>
      <w:color w:val="AA0042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44109F"/>
    <w:pPr>
      <w:pBdr>
        <w:bottom w:val="single" w:sz="4" w:space="1" w:color="auto"/>
      </w:pBdr>
      <w:spacing w:line="240" w:lineRule="auto"/>
    </w:pPr>
    <w:rPr>
      <w:rFonts w:ascii="Cambria" w:eastAsia="Times New Roman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4109F"/>
    <w:rPr>
      <w:rFonts w:ascii="Cambria" w:hAnsi="Cambria" w:cs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4109F"/>
    <w:pPr>
      <w:spacing w:after="600"/>
    </w:pPr>
    <w:rPr>
      <w:rFonts w:ascii="Cambria" w:eastAsia="Times New Roman" w:hAnsi="Cambria" w:cs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4109F"/>
    <w:rPr>
      <w:rFonts w:ascii="Cambria" w:hAnsi="Cambria" w:cs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44109F"/>
    <w:rPr>
      <w:b/>
      <w:bCs/>
    </w:rPr>
  </w:style>
  <w:style w:type="character" w:styleId="Emphasis">
    <w:name w:val="Emphasis"/>
    <w:basedOn w:val="DefaultParagraphFont"/>
    <w:uiPriority w:val="99"/>
    <w:qFormat/>
    <w:rsid w:val="0044109F"/>
    <w:rPr>
      <w:b/>
      <w:bCs/>
      <w:i/>
      <w:iCs/>
      <w:spacing w:val="10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44109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44109F"/>
  </w:style>
  <w:style w:type="paragraph" w:styleId="ListParagraph">
    <w:name w:val="List Paragraph"/>
    <w:basedOn w:val="Normal"/>
    <w:uiPriority w:val="99"/>
    <w:qFormat/>
    <w:rsid w:val="0044109F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4410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4410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410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4109F"/>
    <w:rPr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44109F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44109F"/>
    <w:rPr>
      <w:b/>
      <w:bCs/>
    </w:rPr>
  </w:style>
  <w:style w:type="character" w:styleId="SubtleReference">
    <w:name w:val="Subtle Reference"/>
    <w:basedOn w:val="DefaultParagraphFont"/>
    <w:uiPriority w:val="99"/>
    <w:qFormat/>
    <w:rsid w:val="0044109F"/>
    <w:rPr>
      <w:smallCaps/>
    </w:rPr>
  </w:style>
  <w:style w:type="character" w:styleId="IntenseReference">
    <w:name w:val="Intense Reference"/>
    <w:basedOn w:val="DefaultParagraphFont"/>
    <w:uiPriority w:val="99"/>
    <w:qFormat/>
    <w:rsid w:val="0044109F"/>
    <w:rPr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4410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44109F"/>
    <w:pPr>
      <w:outlineLvl w:val="9"/>
    </w:pPr>
  </w:style>
  <w:style w:type="paragraph" w:styleId="NormalWeb">
    <w:name w:val="Normal (Web)"/>
    <w:basedOn w:val="Normal"/>
    <w:uiPriority w:val="99"/>
    <w:rsid w:val="000E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semiHidden/>
    <w:rsid w:val="000E4EE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5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5493"/>
    <w:rPr>
      <w:rFonts w:ascii="Tahoma" w:hAnsi="Tahoma" w:cs="Tahoma"/>
      <w:sz w:val="16"/>
      <w:szCs w:val="16"/>
    </w:rPr>
  </w:style>
  <w:style w:type="paragraph" w:customStyle="1" w:styleId="marker5">
    <w:name w:val="marker5"/>
    <w:basedOn w:val="Normal"/>
    <w:uiPriority w:val="99"/>
    <w:rsid w:val="002D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arker3">
    <w:name w:val="marker3"/>
    <w:basedOn w:val="DefaultParagraphFont"/>
    <w:uiPriority w:val="99"/>
    <w:rsid w:val="002D651A"/>
  </w:style>
  <w:style w:type="paragraph" w:styleId="Header">
    <w:name w:val="header"/>
    <w:basedOn w:val="Normal"/>
    <w:link w:val="HeaderChar"/>
    <w:uiPriority w:val="99"/>
    <w:rsid w:val="00F9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75DF"/>
  </w:style>
  <w:style w:type="paragraph" w:styleId="Footer">
    <w:name w:val="footer"/>
    <w:basedOn w:val="Normal"/>
    <w:link w:val="FooterChar"/>
    <w:uiPriority w:val="99"/>
    <w:semiHidden/>
    <w:rsid w:val="00F9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975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3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3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pms.ru/General_info/ARIS.htm" TargetMode="External"/><Relationship Id="rId13" Type="http://schemas.openxmlformats.org/officeDocument/2006/relationships/hyperlink" Target="https://ru.wikipedia.org/wiki/%D0%9C%D0%BE%D0%B4%D0%B5%D0%BB%D0%B8%D1%80%D0%BE%D0%B2%D0%B0%D0%BD%D0%B8%D0%B5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://www.kpms.ru/General_info/Process_approach.ht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://www.kpms.ru/General_info/CASE_tools.htm" TargetMode="External"/><Relationship Id="rId12" Type="http://schemas.openxmlformats.org/officeDocument/2006/relationships/hyperlink" Target="https://ru.wikipedia.org/w/index.php?title=ICAM&amp;action=edit&amp;redlink=1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pms.ru/General_info/Rational_Rose.htm" TargetMode="External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image" Target="media/image9.jpeg"/><Relationship Id="rId28" Type="http://schemas.openxmlformats.org/officeDocument/2006/relationships/image" Target="media/image12.png"/><Relationship Id="rId10" Type="http://schemas.openxmlformats.org/officeDocument/2006/relationships/hyperlink" Target="http://www.kpms.ru/General_info/BPwin.htm" TargetMode="External"/><Relationship Id="rId19" Type="http://schemas.openxmlformats.org/officeDocument/2006/relationships/image" Target="media/image5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pms.ru/General_info/ERwin.htm" TargetMode="External"/><Relationship Id="rId14" Type="http://schemas.openxmlformats.org/officeDocument/2006/relationships/hyperlink" Target="https://ru.wikipedia.org/wiki/%D0%A1%D0%BB%D0%BE%D0%B6%D0%BD%D0%B0%D1%8F_%D1%81%D0%B8%D1%81%D1%82%D0%B5%D0%BC%D0%B0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://www.kpms.ru/General_info/Process_approach.htm" TargetMode="External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</TotalTime>
  <Pages>10</Pages>
  <Words>1643</Words>
  <Characters>9369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</cp:lastModifiedBy>
  <cp:revision>5</cp:revision>
  <cp:lastPrinted>2015-10-11T10:03:00Z</cp:lastPrinted>
  <dcterms:created xsi:type="dcterms:W3CDTF">2015-10-11T08:16:00Z</dcterms:created>
  <dcterms:modified xsi:type="dcterms:W3CDTF">2015-11-16T08:08:00Z</dcterms:modified>
</cp:coreProperties>
</file>