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3E" w:rsidRDefault="00B040F8">
      <w:pPr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7"/>
          <w:szCs w:val="27"/>
        </w:rPr>
        <w:t>Семья и домохозяйство.</w:t>
      </w:r>
      <w:r>
        <w:br/>
      </w:r>
      <w:r>
        <w:rPr>
          <w:rFonts w:ascii="Arial" w:hAnsi="Arial" w:cs="Arial"/>
          <w:color w:val="000066"/>
          <w:sz w:val="20"/>
          <w:szCs w:val="20"/>
        </w:rPr>
        <w:t>        Домохозяйство и его типы. Жизненный цикл домохозяйства. Решение домохозяйства о покупке; распределение ролей. Потребительская социализация.</w:t>
      </w:r>
    </w:p>
    <w:p w:rsidR="00B040F8" w:rsidRDefault="00B040F8">
      <w:pPr>
        <w:rPr>
          <w:rFonts w:ascii="Arial" w:hAnsi="Arial" w:cs="Arial"/>
          <w:color w:val="000066"/>
          <w:sz w:val="20"/>
          <w:szCs w:val="20"/>
        </w:rPr>
      </w:pPr>
    </w:p>
    <w:p w:rsidR="00B040F8" w:rsidRDefault="00B040F8" w:rsidP="00B040F8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Домохозяйство и его типы.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 Домохозяйство — это все обитатели единицы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жилья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,в</w:t>
      </w:r>
      <w:proofErr w:type="gramEnd"/>
      <w:r>
        <w:rPr>
          <w:rFonts w:ascii="Arial" w:hAnsi="Arial" w:cs="Arial"/>
          <w:color w:val="000000"/>
          <w:sz w:val="20"/>
          <w:szCs w:val="20"/>
        </w:rPr>
        <w:t>едущие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общее хозяйство. Домохозяйство — основная единица потребления для большинства потребительских товаров.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Домашние приборы (телевизоры, холодильники, домашние компьютеры), мебель, жилье, продукты питания потребляются скорее домохозяйством, чем индивидуумами.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Образцы потребления каждого из членов домохозяйства взаимозависимы. Так, например, покупка велосипеда для ребенка часто означает снижение возможности покупки пальто для другого члена семьи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 Понятия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семья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и домохозяйство отличаются, хотя иногда используются взаимозаменяемо. Семья — это группа двух или более людей, связанных кровным родством, браком или усыновлением и живущих вместе.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Нуклеарная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семья — это группа, состоящая из отца, матери из ребенка (детей), живущих вместе.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Нуклеарная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семья имеет несколько вариаций. В частности это — семья с одним из родителей, образовавшаяся в результате развода или смерти другого родителя. В обоих случаях чаще дети и мать остаются вместе как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нуклеарная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семья. Расширенная семья — это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нуклеарная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семья плюс другие родственники (бабушки, дедушки, дяди и тети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)., 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Расширенные семьи характерны для стран Востока, распространены в России, однако не характерны для США.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 Домохозяйство в сравнении с семьей становится все более Я значимой для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маркетеров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единицей анализа в развитых странах. Это вызвано ростом распространения несемейных домохозяйств. Несемейные домохозяйства составляют люди, живущие одни, или люди, не связанные родственными отношениями или браком.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 Домохозяйство непосредственно воздействует на процесс потребления, и потому его характеристики необходимо учитывать для разработки маркетинговых решений. Оно также; играет решающую роль в социализации детей как потребителей. Семейное домохозяйство — основной механизм передачи культурных ценностей и ценностей социального класса следующему поколению. </w:t>
      </w:r>
    </w:p>
    <w:p w:rsidR="00B040F8" w:rsidRDefault="00B040F8" w:rsidP="00B040F8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14300" cy="137160"/>
            <wp:effectExtent l="0" t="0" r="0" b="0"/>
            <wp:docPr id="3" name="Рисунок 3" descr="C:\Users\Алексей Евгеньевич\AppData\Local\Temp\RarSFX1\data\games\icon_lis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 Евгеньевич\AppData\Local\Temp\RarSFX1\data\games\icon_list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Жизненный цикл домохозяйства.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 Структура большинства семей и несемейных домохозяйств меняется с течением времени. Для анализа этих структурных различий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американскими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маркетологами была разработана концепция жизненного цикла семьи. В основе концепции — предположение о том, что большинство семей проходят через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последовательнос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B</w:t>
      </w:r>
      <w:proofErr w:type="gramEnd"/>
      <w:r>
        <w:rPr>
          <w:rFonts w:ascii="Arial" w:hAnsi="Arial" w:cs="Arial"/>
          <w:color w:val="000000"/>
          <w:sz w:val="20"/>
          <w:szCs w:val="20"/>
        </w:rPr>
        <w:t>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стадий. Каждая из стадий имеет свои характеристики, специфичную финансовую ситуацию и образцы покупательского поведения.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 Молодые одинокие. Группа характеризуется возрастом (до 35 лет) и брачным статусом — одинокие. Группа делится на тех, кто живет со своей семьей, и независимых, то есть живущих отдельно. Живущие с семьей молодые имеют немного обязанностей и ведут активную социальную жизнь. Покупают услуги молодежного досуга, предметы личного ухода (парфюмерию), одежду и спорттовары. Независимые имеют больше финансовых обязательств, покупают то же, что и молодые, живущие с семьей, но чаще покупают предметы домашнего назначения.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 Молодые в браке без детей. Решение о браке или совместной жизни составляет новую стадию жизненного цикла домохозяйства. Жизненный стиль одиноких людей меняется с формированием совместного стиля. Приобретаются домашняя мебель и приборы. С более поздним появлением детей эта стадия увеличивается. Двойной доход обеспечивает относительно высокий уровень жизни. Эта группа тратит больше на досуг вне дома, дорогостоящую одежду, путешествия в сравнении с полным гнездом.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 Полное гнездо 1: молодые в браке с детьми. Появление ребенка несет много изменений в Жизненный стиль и потребление молодой пары. К новым покупкам относятся детская одежда, мебель, питание. Формы досуга адаптируются к условиям воспитания детей. Доход домохозяйства может снижаться с прекращением работы одного из супругов.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 Одинокий родитель 1: молодые одинокие родители. Развод родителей создает специфические потребности в услугах ухода за детьми, в продуктах питания скорого приготовления. Одинокие родители испытывают недостаток времени и финансовые проблемы поддержания желаемого жизненного стиля семьи.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 Одинокие среднего возраста. Группа состоит из тех, кто никогда не вступал в брак, и разведенных людей, не имеющих обязанностей по воспитанию детей. Эта группа людей 35-64 лет невелика, ее потребности близки к группе молодых одиноких. Одинокие среднего возраста, как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правило, имеют больше денег для затрат на поддержку своего жизненного стиля, чем молодые одинокие. Это рынок более дорогого жилья, путешествий, ресторанов.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 Пустое гнездо 1: люди среднего возраста в браке без детей. Эта группа состоит из: 1) бездетных пар; 2) людей повторных браков, где дети от предыдущего брака не живут с родителем; 3) пар, чьи дети покинули дом и живут отдельно. Занятость обоих супругов создает недостаток времени и доход для досуга вне дома и бытовых услуг, экономящих время.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 Полное гнездо 2: люди среднего возраста в браке с детьми в доме. Дети людей 35-64 лет, как правило, старше 6 лет и потому более независимы, чем в молодых семьях. Семьи с детьми 6 и более лет — основной рынок уроков всех типов (музыки, спорта, иностранных языков), велосипедов, спортинвентаря. Подростки в этих домохозяйствах рассматриваются маркетологами как покупатели для собственных нужд и для домохозяйства. Соответственно, на этот сегмент нацеливается реклама безалкогольных напитков, жевательной резинки и одежды для подростков.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 Одинокий родитель 2: одинокий родитель с детьми в доме. Одинокие родители 35-64 лет часто находятся под финансовым прессом. На них возлагаются те же требования, что и на супружеские пары среднего возраста, но при этом один человек несет весь груз ответственности за обязанности по домохозяйству. Кроме финансового стресса, на этот сегмент влияет и недостаток времени. Многие люди этого сегмента вынуждены использовать экономящие время альтернативы, такие, как готовые к употреблению продукты питания. Дети этого сегмента имеют расширенные обязанности по домохозяйству.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 Пустое гнездо 2: старшие супружеские пары. Эту группу составляют люди с главой домохозяйства старше 64 лет, который может продолжать работать. Часто супруги уже на пенсии и полностью или частично свободны от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полнодневной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занятости. Потребности специфичны в области медицинских услуг, жилья, питания и отдыха. Эта группа имеет достаточно много времени, но не слишком много денег.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 Старшие одинокие. Эту группу составляют в основном женщины, в силу более высокой продолжительности их жизни в сравнении с мужчинами. Смерть одного из супругов возлагает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на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оставшегося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его обязанности — финансовые, бытовые. Условия пожилого возраста, одиночества и незанятости создают уникальные потребности для жилья, общения, путешествий и отдыха. </w:t>
      </w:r>
    </w:p>
    <w:p w:rsidR="00B040F8" w:rsidRDefault="00B040F8" w:rsidP="00B040F8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14300" cy="137160"/>
            <wp:effectExtent l="0" t="0" r="0" b="0"/>
            <wp:docPr id="2" name="Рисунок 2" descr="C:\Users\Алексей Евгеньевич\AppData\Local\Temp\RarSFX1\data\games\icon_lis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 Евгеньевич\AppData\Local\Temp\RarSFX1\data\games\icon_list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Решение домохозяйства о покупке; распределение ролей.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 Принятие решения группой — домохозяйством — отличается от принятия решения индивидуумом. Одно из основных отличий — в распределении функций между несколькими людьми. Для управления положением продукта на рынке маркетолог должен знать, какие, где и кем покупаются продукты, как и когда продукты будут использоваться.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 Для характеристики функций и характера участия членов домохозяйства в принятии покупочного решения используются роли. Социологи описывают поведение членов домохозяйства и других групп с помощью инструментальных (или экономических, функциональных) и экспрессивных ролей. Инструментальные роли охватывают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функциифинансовой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трансакции, выбор условий покупки. Экспрессивные роли состоят в эмоциональной поддержке принятия решения о покупке другим членом семьи, в выражении эмоциональных потребностей семьи, ее интересов и норм.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 Специфику инструментальных и экспрессивных ролей следует учитывать в построении маркетинговых коммуникаций. Коммуникации чаще ориентируются на индивидуумов — носителей инструментальных ролей. В действительности построение коммуникаций — выбор типов обращений в рекламных сообщениях,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споукперсон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— следует вести с учетом влияния на процесс решения других членов домохозяйств — носителей экспрессивных ролей.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Например, в выборе домашних приборов (аудиотехники, домашних компьютеров, пылесосов) мужчины ориентируются преимущественно на технические параметры, тогда как для женщин дизайн (форма, размер, цвет) — фактор не менее значимый, чем технические характеристики продукта.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 Потребительское решение домохозяйства предполагает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исполнение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по меньшей мере пяти ролей. Эти роли могут выполняться мужем, женой, детьми или другими членами домохозяйства. Одна роль может выполняться несколькими членами домохозяйства. Один человек может совмещать несколько ролей.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  а) Инициатор - человек, заинтересованный в продукте, осведомленный о нем и собирающий информацию об атрибутах потенциальной покупки. Он инициирует в домохозяйстве обсуждение возможной покупки.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  б)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Влиятелъ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— индивидуум, влияющий на учитываемые критерии и спектр оцениваемых альтернатив продуктов или марок.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  в) Решатель - человек, принимающий окончательное решение. Он имеет финансовый авторитет/власть выбора — как будут потрачены деньги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домохозяйства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и на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какие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продукты или марки.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  г) Покупатель — человек, действительно покупающий продукт. Действуя как агент по закупке, он посещает магазин, обращается к поставщику, рассчитывается за покупку (наличными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или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выписывая чеки), приносит продукт домой.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     д) Пользователь — человек, использующий продукт.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Маркетеры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должны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коммуникатировать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 исполнителями всех ролей. Этот подход использован, например, в рекламных роликах мыла 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Safeguard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» компании 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Procter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&amp;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Gamble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». В роликах каждый из членов потенциальной семьи-потребителя видит свою потребительскую роль — от непосредственного использования до общей эмоциональной поддержки использования другими членами семьи. </w:t>
      </w:r>
    </w:p>
    <w:p w:rsidR="00B040F8" w:rsidRDefault="00B040F8" w:rsidP="00B040F8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14300" cy="137160"/>
            <wp:effectExtent l="0" t="0" r="0" b="0"/>
            <wp:docPr id="1" name="Рисунок 1" descr="C:\Users\Алексей Евгеньевич\AppData\Local\Temp\RarSFX1\data\games\icon_lis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 Евгеньевич\AppData\Local\Temp\RarSFX1\data\games\icon_list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Потребительская социализация.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Домохозяйство — основная среда формирования будущего потребителя, или потребительской социализации. Потребительская социализация — это процесс приобретения молодыми людьми умений, знаний и отношений, затрагивающих их функционирование на рынке в качестве потребителей. Потребительская социализация происходит как передача культурных ценностей от одного поколения к другому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нуклеарной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или расширенной семье. </w:t>
      </w:r>
    </w:p>
    <w:p w:rsidR="00B040F8" w:rsidRDefault="00B040F8">
      <w:bookmarkStart w:id="0" w:name="_GoBack"/>
      <w:bookmarkEnd w:id="0"/>
    </w:p>
    <w:sectPr w:rsidR="00B04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10"/>
    <w:rsid w:val="001A4F3E"/>
    <w:rsid w:val="00893CE7"/>
    <w:rsid w:val="009C5E10"/>
    <w:rsid w:val="00B040F8"/>
    <w:rsid w:val="00BA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1527</Words>
  <Characters>8710</Characters>
  <Application>Microsoft Office Word</Application>
  <DocSecurity>0</DocSecurity>
  <Lines>72</Lines>
  <Paragraphs>20</Paragraphs>
  <ScaleCrop>false</ScaleCrop>
  <Company/>
  <LinksUpToDate>false</LinksUpToDate>
  <CharactersWithSpaces>10217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Евгеньевич</dc:creator>
  <cp:keywords/>
  <dc:description/>
  <cp:lastModifiedBy>Алексей Евгеньевич</cp:lastModifiedBy>
  <cp:revision>2</cp:revision>
  <cp:lastPrinted>2015-03-16T07:30:00Z</cp:lastPrinted>
  <dcterms:created xsi:type="dcterms:W3CDTF">2015-03-16T07:29:00Z</dcterms:created>
  <dcterms:modified xsi:type="dcterms:W3CDTF">2015-03-16T07:30:00Z</dcterms:modified>
</cp:coreProperties>
</file>