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29" w:rsidRDefault="00057129" w:rsidP="000571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57129">
        <w:rPr>
          <w:rFonts w:ascii="Times New Roman" w:hAnsi="Times New Roman"/>
          <w:b/>
          <w:sz w:val="28"/>
        </w:rPr>
        <w:t xml:space="preserve">Вопросы к зачету по лабораторному практикуму </w:t>
      </w:r>
    </w:p>
    <w:p w:rsidR="00057129" w:rsidRPr="00057129" w:rsidRDefault="00057129" w:rsidP="000571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57129">
        <w:rPr>
          <w:rFonts w:ascii="Times New Roman" w:hAnsi="Times New Roman"/>
          <w:b/>
          <w:sz w:val="28"/>
        </w:rPr>
        <w:t>«Формы банковской отчетности»</w:t>
      </w:r>
    </w:p>
    <w:p w:rsidR="00057129" w:rsidRDefault="00057129" w:rsidP="0005712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A69FC">
        <w:rPr>
          <w:rFonts w:ascii="Times New Roman" w:hAnsi="Times New Roman"/>
          <w:sz w:val="28"/>
        </w:rPr>
        <w:t xml:space="preserve">Понятие банковской отчетности.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A69FC">
        <w:rPr>
          <w:rFonts w:ascii="Times New Roman" w:hAnsi="Times New Roman"/>
          <w:sz w:val="28"/>
        </w:rPr>
        <w:t>Основные задачи банковской отчетности.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A69FC">
        <w:rPr>
          <w:rFonts w:ascii="Times New Roman" w:hAnsi="Times New Roman"/>
          <w:sz w:val="28"/>
        </w:rPr>
        <w:t xml:space="preserve">Классификация форм банковской отчетности по видам, по значимости, по охватывающему периоду, по особенностям применяемых методов отражения.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A69FC">
        <w:rPr>
          <w:rFonts w:ascii="Times New Roman" w:hAnsi="Times New Roman"/>
          <w:sz w:val="28"/>
        </w:rPr>
        <w:t>Проблемы перехода кредитных организаций на составление отчетности с учетом требований МСФО.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A69FC">
        <w:rPr>
          <w:rFonts w:ascii="Times New Roman" w:hAnsi="Times New Roman"/>
          <w:sz w:val="28"/>
        </w:rPr>
        <w:t xml:space="preserve">Понятие банковской отчетности.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A69FC">
        <w:rPr>
          <w:rFonts w:ascii="Times New Roman" w:hAnsi="Times New Roman"/>
          <w:sz w:val="28"/>
        </w:rPr>
        <w:t xml:space="preserve">Общие требования к составлению и представлению отчетности кредитными организациями в Центральный банк Российской Федерации.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A69FC">
        <w:rPr>
          <w:rFonts w:ascii="Times New Roman" w:hAnsi="Times New Roman"/>
          <w:sz w:val="28"/>
        </w:rPr>
        <w:t xml:space="preserve">Обязательные части, зоны и реквизиты форм банковской отчетности.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A69FC">
        <w:rPr>
          <w:rFonts w:ascii="Times New Roman" w:hAnsi="Times New Roman"/>
          <w:sz w:val="28"/>
        </w:rPr>
        <w:t xml:space="preserve">Порядок заполнения формы отчетности кредитной организации.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A69FC">
        <w:rPr>
          <w:rFonts w:ascii="Times New Roman" w:hAnsi="Times New Roman"/>
          <w:sz w:val="28"/>
        </w:rPr>
        <w:t>Сроки представления банковской отчетности в Банк России.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>Понятие и виды публикуемой консолидированной отчетности.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Консолидированный балансовый отчет (код формы 0409802).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Консолидированный отчет о прибылях и убытках (код формы 0409803).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Сведения о составе участников  банковской (консолидированной)    группы, уровне достаточности собственных средств и величине сформированных резервов на  покрытие сомнительных ссуд и иных активов (код формы 0409812).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Понятие и виды публикуемой отчетности кредитных организаций.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Бухгалтерский баланс (публикуемая форма) (код формы 0409806).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Отчет о прибылях и убытках (публикуемая форма) (код формы 0409807).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>Отчет об уровне достаточности капитала, величине резервов на покрытие сомнительных ссуд и иных активов (код формы 0409808).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Содержание и заполнение форм банковской отчетности, предоставляемых кредитными организациями в Банк России на ежедневной основе.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Пятидневная форма отчетности. </w:t>
      </w:r>
    </w:p>
    <w:p w:rsidR="008A69FC" w:rsidRDefault="008A69FC" w:rsidP="008A6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Содержание и заполнение декадных форм банковской отчетности. </w:t>
      </w:r>
    </w:p>
    <w:p w:rsidR="003953CE" w:rsidRDefault="008A69F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953CE">
        <w:rPr>
          <w:rFonts w:ascii="Times New Roman" w:hAnsi="Times New Roman"/>
          <w:sz w:val="28"/>
          <w:szCs w:val="28"/>
        </w:rPr>
        <w:t>Содержание и заполнение ежемесячных форм банковской отчетности.</w:t>
      </w:r>
    </w:p>
    <w:p w:rsidR="008A69FC" w:rsidRPr="003953CE" w:rsidRDefault="008A69F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953CE">
        <w:rPr>
          <w:rFonts w:ascii="Times New Roman" w:hAnsi="Times New Roman"/>
          <w:sz w:val="28"/>
          <w:szCs w:val="28"/>
        </w:rPr>
        <w:t xml:space="preserve"> Содержание и заполнение форм банковской отчетности, предоставляемых кредитными организациями в Банк России на ежеквартальной основе.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Полугодовая форма банковской отчетности.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>Содержание и заполнение форм банковской отчетности, предоставляемых кредитными организациями в Банк России на ежегодной основе.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lastRenderedPageBreak/>
        <w:t xml:space="preserve">Форма 101 «Оборотная ведомость по счетам бухгалтерского учета кредитной организации»: структура, порядок заполнения, преимущества и недостатки по сравнению с публикуемой формой баланса банка.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Характеристика счетов бухгалтерского учета.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Схема составления лицевых счетов.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Форма 102 «Отчет о прибылях и убытках кредитной организации»: структура, порядок заполнения, преимущества и недостатки по сравнению с публикуемой формой отчета о прибылях и убытках банка.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Основные виды доходов и расходов банка.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Форма 134 «Расчет собственных средств (капитала).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Форме 135 «Информация об обязательных нормативах». 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>Порядок расчета обязательных нормативов, устанавливаемых Банком России для кредитных организаций.</w:t>
      </w:r>
    </w:p>
    <w:p w:rsidR="008A69FC" w:rsidRPr="008A69FC" w:rsidRDefault="008A69F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69FC">
        <w:rPr>
          <w:rFonts w:ascii="Times New Roman" w:hAnsi="Times New Roman"/>
          <w:sz w:val="28"/>
          <w:szCs w:val="28"/>
        </w:rPr>
        <w:t xml:space="preserve">Содержание и заполнение форм банковской отчетности, предоставляемых в Банк России на нерегулярной основе. </w:t>
      </w:r>
    </w:p>
    <w:p w:rsidR="008A69FC" w:rsidRDefault="008A69F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форм банковской отчетности в анализе деятельности коммерческого банка.</w:t>
      </w:r>
    </w:p>
    <w:p w:rsidR="008F2F3C" w:rsidRDefault="008F2F3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Варианты составления формы баланса коммерческого банка.</w:t>
      </w:r>
    </w:p>
    <w:p w:rsidR="008F2F3C" w:rsidRPr="008A69FC" w:rsidRDefault="008F2F3C" w:rsidP="008A69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Баланс-брутто и баланс-нетто.</w:t>
      </w:r>
    </w:p>
    <w:p w:rsidR="008F2F3C" w:rsidRDefault="008F2F3C"/>
    <w:sectPr w:rsidR="008F2F3C" w:rsidSect="0002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31C85"/>
    <w:multiLevelType w:val="hybridMultilevel"/>
    <w:tmpl w:val="B3484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8A69FC"/>
    <w:rsid w:val="00020C91"/>
    <w:rsid w:val="00043480"/>
    <w:rsid w:val="00057129"/>
    <w:rsid w:val="003953CE"/>
    <w:rsid w:val="0057419F"/>
    <w:rsid w:val="005D1F2A"/>
    <w:rsid w:val="008A69FC"/>
    <w:rsid w:val="008F2F3C"/>
    <w:rsid w:val="0096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F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cp:lastModifiedBy>ИВГУ</cp:lastModifiedBy>
  <cp:revision>2</cp:revision>
  <dcterms:created xsi:type="dcterms:W3CDTF">2015-04-21T12:25:00Z</dcterms:created>
  <dcterms:modified xsi:type="dcterms:W3CDTF">2015-04-21T12:25:00Z</dcterms:modified>
</cp:coreProperties>
</file>